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6F72A" w14:textId="3D886827" w:rsidR="00333FD9" w:rsidRPr="00333FD9" w:rsidRDefault="00333FD9" w:rsidP="00333FD9">
      <w:pPr>
        <w:rPr>
          <w:b/>
          <w:bCs/>
          <w:color w:val="00B050"/>
          <w:sz w:val="34"/>
          <w:szCs w:val="34"/>
        </w:rPr>
      </w:pPr>
      <w:r w:rsidRPr="00333FD9">
        <w:rPr>
          <w:b/>
          <w:bCs/>
          <w:color w:val="C00000"/>
          <w:sz w:val="34"/>
          <w:szCs w:val="34"/>
        </w:rPr>
        <w:t>What's new in psychiatry</w:t>
      </w:r>
      <w:r w:rsidRPr="00ED55D9">
        <w:rPr>
          <w:b/>
          <w:bCs/>
          <w:color w:val="C00000"/>
          <w:sz w:val="34"/>
          <w:szCs w:val="34"/>
        </w:rPr>
        <w:t xml:space="preserve">   </w:t>
      </w:r>
      <w:bookmarkStart w:id="0" w:name="_Hlk194222531"/>
      <w:r w:rsidRPr="00ED55D9">
        <w:rPr>
          <w:b/>
          <w:bCs/>
          <w:color w:val="00B050"/>
          <w:sz w:val="34"/>
          <w:szCs w:val="34"/>
        </w:rPr>
        <w:t>March 2025</w:t>
      </w:r>
      <w:bookmarkEnd w:id="0"/>
    </w:p>
    <w:p w14:paraId="2FF857C8" w14:textId="77777777" w:rsidR="00510CCB" w:rsidRDefault="00510CCB" w:rsidP="00ED55D9">
      <w:pPr>
        <w:jc w:val="both"/>
      </w:pPr>
    </w:p>
    <w:p w14:paraId="6CC45029" w14:textId="77777777" w:rsidR="00333FD9" w:rsidRPr="00333FD9" w:rsidRDefault="00333FD9" w:rsidP="00ED55D9">
      <w:pPr>
        <w:jc w:val="both"/>
      </w:pPr>
      <w:r w:rsidRPr="00333FD9">
        <w:rPr>
          <w:b/>
          <w:bCs/>
        </w:rPr>
        <w:t>FEEDING AND EATING DISORDERS</w:t>
      </w:r>
    </w:p>
    <w:p w14:paraId="424415DA" w14:textId="77777777" w:rsidR="00333FD9" w:rsidRPr="00333FD9" w:rsidRDefault="00333FD9" w:rsidP="00ED55D9">
      <w:pPr>
        <w:jc w:val="both"/>
      </w:pPr>
      <w:r w:rsidRPr="00333FD9">
        <w:rPr>
          <w:b/>
          <w:bCs/>
        </w:rPr>
        <w:t>Anorexia nervosa and cardiovascular conditions (March 2025)</w:t>
      </w:r>
    </w:p>
    <w:p w14:paraId="490727D5" w14:textId="77777777" w:rsidR="00333FD9" w:rsidRPr="00333FD9" w:rsidRDefault="00333FD9" w:rsidP="00ED55D9">
      <w:pPr>
        <w:jc w:val="both"/>
      </w:pPr>
      <w:r w:rsidRPr="00333FD9">
        <w:t>Weight loss and malnutrition in anorexia nervosa can lead to comorbidities, including cardiovascular conditions such as cardiomyopathy and conduction disorders. A recent study found that the incidence of any cardiac condition at the five-year follow-up was nearly two times greater in those with anorexia nervosa compared with controls without any eating disorder [</w:t>
      </w:r>
      <w:hyperlink r:id="rId5" w:history="1">
        <w:r w:rsidRPr="00333FD9">
          <w:rPr>
            <w:rStyle w:val="Hyperlink"/>
          </w:rPr>
          <w:t>6</w:t>
        </w:r>
      </w:hyperlink>
      <w:r w:rsidRPr="00333FD9">
        <w:t>]. Patients with anorexia nervosa should be monitored for comorbidities, including structural and functional cardiovascular conditions, that may warrant specific management along with nutritional replenishment. (See </w:t>
      </w:r>
      <w:hyperlink r:id="rId6" w:anchor="H1378437163" w:history="1">
        <w:r w:rsidRPr="00333FD9">
          <w:rPr>
            <w:rStyle w:val="Hyperlink"/>
          </w:rPr>
          <w:t>"Anorexia nervosa in adults and adolescents: Medical complications and their management", section on 'Any cardiovascular condition'</w:t>
        </w:r>
      </w:hyperlink>
      <w:r w:rsidRPr="00333FD9">
        <w:t>.)</w:t>
      </w:r>
    </w:p>
    <w:p w14:paraId="080FD467" w14:textId="77777777" w:rsidR="00333FD9" w:rsidRPr="00333FD9" w:rsidRDefault="00333FD9" w:rsidP="00ED55D9">
      <w:pPr>
        <w:jc w:val="both"/>
      </w:pPr>
      <w:r w:rsidRPr="00333FD9">
        <w:rPr>
          <w:b/>
          <w:bCs/>
        </w:rPr>
        <w:t>PSYCHOTIC DISORDERS</w:t>
      </w:r>
    </w:p>
    <w:p w14:paraId="62542A7D" w14:textId="77777777" w:rsidR="00333FD9" w:rsidRPr="00333FD9" w:rsidRDefault="00333FD9" w:rsidP="00ED55D9">
      <w:pPr>
        <w:jc w:val="both"/>
      </w:pPr>
      <w:r w:rsidRPr="00333FD9">
        <w:rPr>
          <w:b/>
          <w:bCs/>
        </w:rPr>
        <w:t>Monitoring neutrophil count during clozapine treatment (March 2025)</w:t>
      </w:r>
    </w:p>
    <w:p w14:paraId="51EEEAA8" w14:textId="77777777" w:rsidR="00333FD9" w:rsidRPr="00333FD9" w:rsidRDefault="00333FD9" w:rsidP="00ED55D9">
      <w:pPr>
        <w:jc w:val="both"/>
      </w:pPr>
      <w:hyperlink r:id="rId7" w:history="1">
        <w:r w:rsidRPr="00333FD9">
          <w:rPr>
            <w:rStyle w:val="Hyperlink"/>
          </w:rPr>
          <w:t>Clozapine</w:t>
        </w:r>
      </w:hyperlink>
      <w:r w:rsidRPr="00333FD9">
        <w:t> is effective for treatment of resistant schizophrenia or schizophrenia accompanied by persistent suicidality. However, the need for frequent neutrophil count monitoring through the Clozapine Risk Evaluation and Mitigation Strategy (REMS) program has been a barrier resulting in its underutilization. The US Food and Drug Administration has voted to abolish the REMS program after determining that it did not measurably mitigate the risk of neutropenia beyond what the labeling alone could accomplish [</w:t>
      </w:r>
      <w:hyperlink r:id="rId8" w:history="1">
        <w:r w:rsidRPr="00333FD9">
          <w:rPr>
            <w:rStyle w:val="Hyperlink"/>
          </w:rPr>
          <w:t>9</w:t>
        </w:r>
      </w:hyperlink>
      <w:r w:rsidRPr="00333FD9">
        <w:t>]. Clinicians are encouraged to monitor neutrophil counts as detailed in the prescribing information until new evidence-based guidelines for clozapine initiation and monitoring are suggested. (See </w:t>
      </w:r>
      <w:hyperlink r:id="rId9" w:anchor="H2966456257" w:history="1">
        <w:r w:rsidRPr="00333FD9">
          <w:rPr>
            <w:rStyle w:val="Hyperlink"/>
          </w:rPr>
          <w:t>"Schizophrenia in adults: Guidelines for prescribing clozapine", section on 'Neutrophil count'</w:t>
        </w:r>
      </w:hyperlink>
      <w:r w:rsidRPr="00333FD9">
        <w:t>.)</w:t>
      </w:r>
    </w:p>
    <w:p w14:paraId="20B82BAA" w14:textId="77777777" w:rsidR="00333FD9" w:rsidRDefault="00333FD9" w:rsidP="00ED55D9">
      <w:pPr>
        <w:jc w:val="both"/>
      </w:pPr>
    </w:p>
    <w:sectPr w:rsidR="00333F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E5610"/>
    <w:multiLevelType w:val="multilevel"/>
    <w:tmpl w:val="CA8A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880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D9"/>
    <w:rsid w:val="000B1565"/>
    <w:rsid w:val="00313F44"/>
    <w:rsid w:val="00333FD9"/>
    <w:rsid w:val="004B5628"/>
    <w:rsid w:val="00510CCB"/>
    <w:rsid w:val="006F17F2"/>
    <w:rsid w:val="008D0060"/>
    <w:rsid w:val="00E577A7"/>
    <w:rsid w:val="00ED55D9"/>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ADE7"/>
  <w15:chartTrackingRefBased/>
  <w15:docId w15:val="{88CE612F-E907-4F16-93BD-8EF7283F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3F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3F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3F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3F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3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F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F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F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3F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3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D9"/>
    <w:rPr>
      <w:rFonts w:eastAsiaTheme="majorEastAsia" w:cstheme="majorBidi"/>
      <w:color w:val="272727" w:themeColor="text1" w:themeTint="D8"/>
    </w:rPr>
  </w:style>
  <w:style w:type="paragraph" w:styleId="Title">
    <w:name w:val="Title"/>
    <w:basedOn w:val="Normal"/>
    <w:next w:val="Normal"/>
    <w:link w:val="TitleChar"/>
    <w:uiPriority w:val="10"/>
    <w:qFormat/>
    <w:rsid w:val="00333F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D9"/>
    <w:pPr>
      <w:spacing w:before="160"/>
      <w:jc w:val="center"/>
    </w:pPr>
    <w:rPr>
      <w:i/>
      <w:iCs/>
      <w:color w:val="404040" w:themeColor="text1" w:themeTint="BF"/>
    </w:rPr>
  </w:style>
  <w:style w:type="character" w:customStyle="1" w:styleId="QuoteChar">
    <w:name w:val="Quote Char"/>
    <w:basedOn w:val="DefaultParagraphFont"/>
    <w:link w:val="Quote"/>
    <w:uiPriority w:val="29"/>
    <w:rsid w:val="00333FD9"/>
    <w:rPr>
      <w:i/>
      <w:iCs/>
      <w:color w:val="404040" w:themeColor="text1" w:themeTint="BF"/>
    </w:rPr>
  </w:style>
  <w:style w:type="paragraph" w:styleId="ListParagraph">
    <w:name w:val="List Paragraph"/>
    <w:basedOn w:val="Normal"/>
    <w:uiPriority w:val="34"/>
    <w:qFormat/>
    <w:rsid w:val="00333FD9"/>
    <w:pPr>
      <w:ind w:left="720"/>
      <w:contextualSpacing/>
    </w:pPr>
  </w:style>
  <w:style w:type="character" w:styleId="IntenseEmphasis">
    <w:name w:val="Intense Emphasis"/>
    <w:basedOn w:val="DefaultParagraphFont"/>
    <w:uiPriority w:val="21"/>
    <w:qFormat/>
    <w:rsid w:val="00333FD9"/>
    <w:rPr>
      <w:i/>
      <w:iCs/>
      <w:color w:val="2F5496" w:themeColor="accent1" w:themeShade="BF"/>
    </w:rPr>
  </w:style>
  <w:style w:type="paragraph" w:styleId="IntenseQuote">
    <w:name w:val="Intense Quote"/>
    <w:basedOn w:val="Normal"/>
    <w:next w:val="Normal"/>
    <w:link w:val="IntenseQuoteChar"/>
    <w:uiPriority w:val="30"/>
    <w:qFormat/>
    <w:rsid w:val="00333F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3FD9"/>
    <w:rPr>
      <w:i/>
      <w:iCs/>
      <w:color w:val="2F5496" w:themeColor="accent1" w:themeShade="BF"/>
    </w:rPr>
  </w:style>
  <w:style w:type="character" w:styleId="IntenseReference">
    <w:name w:val="Intense Reference"/>
    <w:basedOn w:val="DefaultParagraphFont"/>
    <w:uiPriority w:val="32"/>
    <w:qFormat/>
    <w:rsid w:val="00333FD9"/>
    <w:rPr>
      <w:b/>
      <w:bCs/>
      <w:smallCaps/>
      <w:color w:val="2F5496" w:themeColor="accent1" w:themeShade="BF"/>
      <w:spacing w:val="5"/>
    </w:rPr>
  </w:style>
  <w:style w:type="character" w:styleId="Hyperlink">
    <w:name w:val="Hyperlink"/>
    <w:basedOn w:val="DefaultParagraphFont"/>
    <w:uiPriority w:val="99"/>
    <w:unhideWhenUsed/>
    <w:rsid w:val="00333FD9"/>
    <w:rPr>
      <w:color w:val="0563C1" w:themeColor="hyperlink"/>
      <w:u w:val="single"/>
    </w:rPr>
  </w:style>
  <w:style w:type="character" w:styleId="UnresolvedMention">
    <w:name w:val="Unresolved Mention"/>
    <w:basedOn w:val="DefaultParagraphFont"/>
    <w:uiPriority w:val="99"/>
    <w:semiHidden/>
    <w:unhideWhenUsed/>
    <w:rsid w:val="00333F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940187">
      <w:bodyDiv w:val="1"/>
      <w:marLeft w:val="0"/>
      <w:marRight w:val="0"/>
      <w:marTop w:val="0"/>
      <w:marBottom w:val="0"/>
      <w:divBdr>
        <w:top w:val="none" w:sz="0" w:space="0" w:color="auto"/>
        <w:left w:val="none" w:sz="0" w:space="0" w:color="auto"/>
        <w:bottom w:val="none" w:sz="0" w:space="0" w:color="auto"/>
        <w:right w:val="none" w:sz="0" w:space="0" w:color="auto"/>
      </w:divBdr>
    </w:div>
    <w:div w:id="1145665971">
      <w:bodyDiv w:val="1"/>
      <w:marLeft w:val="0"/>
      <w:marRight w:val="0"/>
      <w:marTop w:val="0"/>
      <w:marBottom w:val="0"/>
      <w:divBdr>
        <w:top w:val="none" w:sz="0" w:space="0" w:color="auto"/>
        <w:left w:val="none" w:sz="0" w:space="0" w:color="auto"/>
        <w:bottom w:val="none" w:sz="0" w:space="0" w:color="auto"/>
        <w:right w:val="none" w:sz="0" w:space="0" w:color="auto"/>
      </w:divBdr>
    </w:div>
    <w:div w:id="1160460502">
      <w:bodyDiv w:val="1"/>
      <w:marLeft w:val="0"/>
      <w:marRight w:val="0"/>
      <w:marTop w:val="0"/>
      <w:marBottom w:val="0"/>
      <w:divBdr>
        <w:top w:val="none" w:sz="0" w:space="0" w:color="auto"/>
        <w:left w:val="none" w:sz="0" w:space="0" w:color="auto"/>
        <w:bottom w:val="none" w:sz="0" w:space="0" w:color="auto"/>
        <w:right w:val="none" w:sz="0" w:space="0" w:color="auto"/>
      </w:divBdr>
    </w:div>
    <w:div w:id="1909530040">
      <w:bodyDiv w:val="1"/>
      <w:marLeft w:val="0"/>
      <w:marRight w:val="0"/>
      <w:marTop w:val="0"/>
      <w:marBottom w:val="0"/>
      <w:divBdr>
        <w:top w:val="none" w:sz="0" w:space="0" w:color="auto"/>
        <w:left w:val="none" w:sz="0" w:space="0" w:color="auto"/>
        <w:bottom w:val="none" w:sz="0" w:space="0" w:color="auto"/>
        <w:right w:val="none" w:sz="0" w:space="0" w:color="auto"/>
      </w:divBdr>
      <w:divsChild>
        <w:div w:id="829758477">
          <w:marLeft w:val="0"/>
          <w:marRight w:val="0"/>
          <w:marTop w:val="0"/>
          <w:marBottom w:val="0"/>
          <w:divBdr>
            <w:top w:val="none" w:sz="0" w:space="0" w:color="auto"/>
            <w:left w:val="none" w:sz="0" w:space="0" w:color="auto"/>
            <w:bottom w:val="single" w:sz="6" w:space="0" w:color="DADADA"/>
            <w:right w:val="none" w:sz="0" w:space="0" w:color="auto"/>
          </w:divBdr>
          <w:divsChild>
            <w:div w:id="53436808">
              <w:marLeft w:val="0"/>
              <w:marRight w:val="3225"/>
              <w:marTop w:val="0"/>
              <w:marBottom w:val="0"/>
              <w:divBdr>
                <w:top w:val="none" w:sz="0" w:space="0" w:color="auto"/>
                <w:left w:val="none" w:sz="0" w:space="0" w:color="auto"/>
                <w:bottom w:val="none" w:sz="0" w:space="0" w:color="auto"/>
                <w:right w:val="none" w:sz="0" w:space="0" w:color="auto"/>
              </w:divBdr>
            </w:div>
          </w:divsChild>
        </w:div>
        <w:div w:id="1422219663">
          <w:marLeft w:val="0"/>
          <w:marRight w:val="0"/>
          <w:marTop w:val="0"/>
          <w:marBottom w:val="0"/>
          <w:divBdr>
            <w:top w:val="none" w:sz="0" w:space="0" w:color="auto"/>
            <w:left w:val="none" w:sz="0" w:space="0" w:color="auto"/>
            <w:bottom w:val="none" w:sz="0" w:space="0" w:color="auto"/>
            <w:right w:val="none" w:sz="0" w:space="0" w:color="auto"/>
          </w:divBdr>
        </w:div>
      </w:divsChild>
    </w:div>
    <w:div w:id="2102677405">
      <w:bodyDiv w:val="1"/>
      <w:marLeft w:val="0"/>
      <w:marRight w:val="0"/>
      <w:marTop w:val="0"/>
      <w:marBottom w:val="0"/>
      <w:divBdr>
        <w:top w:val="none" w:sz="0" w:space="0" w:color="auto"/>
        <w:left w:val="none" w:sz="0" w:space="0" w:color="auto"/>
        <w:bottom w:val="none" w:sz="0" w:space="0" w:color="auto"/>
        <w:right w:val="none" w:sz="0" w:space="0" w:color="auto"/>
      </w:divBdr>
      <w:divsChild>
        <w:div w:id="1692222000">
          <w:marLeft w:val="0"/>
          <w:marRight w:val="0"/>
          <w:marTop w:val="0"/>
          <w:marBottom w:val="0"/>
          <w:divBdr>
            <w:top w:val="none" w:sz="0" w:space="0" w:color="auto"/>
            <w:left w:val="none" w:sz="0" w:space="0" w:color="auto"/>
            <w:bottom w:val="single" w:sz="6" w:space="0" w:color="DADADA"/>
            <w:right w:val="none" w:sz="0" w:space="0" w:color="auto"/>
          </w:divBdr>
          <w:divsChild>
            <w:div w:id="907687595">
              <w:marLeft w:val="0"/>
              <w:marRight w:val="3225"/>
              <w:marTop w:val="0"/>
              <w:marBottom w:val="0"/>
              <w:divBdr>
                <w:top w:val="none" w:sz="0" w:space="0" w:color="auto"/>
                <w:left w:val="none" w:sz="0" w:space="0" w:color="auto"/>
                <w:bottom w:val="none" w:sz="0" w:space="0" w:color="auto"/>
                <w:right w:val="none" w:sz="0" w:space="0" w:color="auto"/>
              </w:divBdr>
            </w:div>
          </w:divsChild>
        </w:div>
        <w:div w:id="600533520">
          <w:marLeft w:val="0"/>
          <w:marRight w:val="0"/>
          <w:marTop w:val="0"/>
          <w:marBottom w:val="0"/>
          <w:divBdr>
            <w:top w:val="none" w:sz="0" w:space="0" w:color="auto"/>
            <w:left w:val="none" w:sz="0" w:space="0" w:color="auto"/>
            <w:bottom w:val="none" w:sz="0" w:space="0" w:color="auto"/>
            <w:right w:val="none" w:sz="0" w:space="0" w:color="auto"/>
          </w:divBdr>
        </w:div>
      </w:divsChild>
    </w:div>
    <w:div w:id="214349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whats-new-in-psychiatry/abstract/9" TargetMode="External"/><Relationship Id="rId3" Type="http://schemas.openxmlformats.org/officeDocument/2006/relationships/settings" Target="settings.xml"/><Relationship Id="rId7" Type="http://schemas.openxmlformats.org/officeDocument/2006/relationships/hyperlink" Target="https://www4.utdos.ir/contents/clozapine-drug-information?topicRef=83935&amp;source=se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4.utdos.ir/contents/anorexia-nervosa-in-adults-and-adolescents-medical-complications-and-their-management?sectionName=Any%20cardiovascular%20condition&amp;topicRef=83935&amp;anchor=H1378437163&amp;source=see_link" TargetMode="External"/><Relationship Id="rId11" Type="http://schemas.openxmlformats.org/officeDocument/2006/relationships/theme" Target="theme/theme1.xml"/><Relationship Id="rId5" Type="http://schemas.openxmlformats.org/officeDocument/2006/relationships/hyperlink" Target="https://www4.utdos.ir/contents/whats-new-in-psychiatry/abstract/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4.utdos.ir/contents/schizophrenia-in-adults-guidelines-for-prescribing-clozapine?sectionName=Neutrophil%20count&amp;topicRef=83935&amp;anchor=H2966456257&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2</cp:revision>
  <dcterms:created xsi:type="dcterms:W3CDTF">2025-03-30T06:48:00Z</dcterms:created>
  <dcterms:modified xsi:type="dcterms:W3CDTF">2025-03-30T07:20:00Z</dcterms:modified>
</cp:coreProperties>
</file>